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7679" w14:textId="3470FAB4" w:rsidR="006870C2" w:rsidRPr="001A0EF4" w:rsidRDefault="006870C2" w:rsidP="000A2D55">
      <w:pPr>
        <w:jc w:val="both"/>
        <w:rPr>
          <w:rFonts w:ascii="Open Sans" w:hAnsi="Open Sans" w:cs="Open Sans"/>
          <w:b/>
          <w:bCs/>
        </w:rPr>
      </w:pPr>
      <w:r w:rsidRPr="001A0EF4">
        <w:rPr>
          <w:rFonts w:ascii="Open Sans" w:hAnsi="Open Sans" w:cs="Open Sans"/>
          <w:b/>
          <w:bCs/>
        </w:rPr>
        <w:t>Zbigniew Kinal: Branża OZE liczy na szybkie wejście przepisów dotyczących umów PPA</w:t>
      </w:r>
    </w:p>
    <w:p w14:paraId="7DE9114F" w14:textId="77777777" w:rsidR="006870C2" w:rsidRPr="000A2D55" w:rsidRDefault="006870C2" w:rsidP="000A2D55">
      <w:pPr>
        <w:jc w:val="both"/>
        <w:rPr>
          <w:rFonts w:ascii="Open Sans" w:hAnsi="Open Sans" w:cs="Open Sans"/>
        </w:rPr>
      </w:pPr>
    </w:p>
    <w:p w14:paraId="3DB89B5B" w14:textId="7C551089" w:rsidR="006870C2" w:rsidRPr="000A2D55" w:rsidRDefault="69DE343A" w:rsidP="000A2D55">
      <w:pPr>
        <w:jc w:val="both"/>
        <w:rPr>
          <w:rFonts w:ascii="Open Sans" w:eastAsiaTheme="majorEastAsia" w:hAnsi="Open Sans" w:cs="Open Sans"/>
          <w:b/>
          <w:bCs/>
          <w:color w:val="000000" w:themeColor="text1"/>
        </w:rPr>
      </w:pPr>
      <w:r w:rsidRPr="08BA60F3">
        <w:rPr>
          <w:rFonts w:ascii="Open Sans" w:hAnsi="Open Sans" w:cs="Open Sans"/>
          <w:b/>
          <w:bCs/>
        </w:rPr>
        <w:t>Planowane zmiany w Prawie Energetycznym i Ustawie o OZE są wyczekiwane  na rynk</w:t>
      </w:r>
      <w:r w:rsidR="516D4F05" w:rsidRPr="08BA60F3">
        <w:rPr>
          <w:rFonts w:ascii="Open Sans" w:hAnsi="Open Sans" w:cs="Open Sans"/>
          <w:b/>
          <w:bCs/>
        </w:rPr>
        <w:t>u</w:t>
      </w:r>
      <w:r w:rsidRPr="08BA60F3">
        <w:rPr>
          <w:rFonts w:ascii="Open Sans" w:hAnsi="Open Sans" w:cs="Open Sans"/>
          <w:b/>
          <w:bCs/>
        </w:rPr>
        <w:t xml:space="preserve">. Z punktu widzenia sprzedaży zielonej energii ważną regulacją będzie unormowanie w przepisach umowy PPA – czyli sprzedaży zielonej energii od producenta prosto do konsumenta – komentuje Zbigniew Kinal, prezes OZEOS, </w:t>
      </w:r>
      <w:r w:rsidRPr="08BA60F3">
        <w:rPr>
          <w:rFonts w:ascii="Open Sans" w:eastAsiaTheme="majorEastAsia" w:hAnsi="Open Sans" w:cs="Open Sans"/>
          <w:b/>
          <w:bCs/>
          <w:color w:val="000000" w:themeColor="text1"/>
        </w:rPr>
        <w:t xml:space="preserve">firmy  specjalizującej się w kontraktowaniu energii </w:t>
      </w:r>
      <w:r w:rsidR="16DEAEAC" w:rsidRPr="08BA60F3">
        <w:rPr>
          <w:rFonts w:ascii="Open Sans" w:eastAsiaTheme="majorEastAsia" w:hAnsi="Open Sans" w:cs="Open Sans"/>
          <w:b/>
          <w:bCs/>
          <w:color w:val="000000" w:themeColor="text1"/>
        </w:rPr>
        <w:t>z OZE w formule PPA</w:t>
      </w:r>
      <w:r w:rsidRPr="08BA60F3">
        <w:rPr>
          <w:rFonts w:ascii="Open Sans" w:eastAsiaTheme="majorEastAsia" w:hAnsi="Open Sans" w:cs="Open Sans"/>
          <w:b/>
          <w:bCs/>
          <w:color w:val="000000" w:themeColor="text1"/>
        </w:rPr>
        <w:t>.</w:t>
      </w:r>
      <w:r w:rsidR="6CA0F852" w:rsidRPr="08BA60F3">
        <w:rPr>
          <w:rFonts w:ascii="Open Sans" w:eastAsiaTheme="majorEastAsia" w:hAnsi="Open Sans" w:cs="Open Sans"/>
          <w:b/>
          <w:bCs/>
          <w:color w:val="000000" w:themeColor="text1"/>
        </w:rPr>
        <w:t xml:space="preserve"> Zmian jest jednak więcej.</w:t>
      </w:r>
    </w:p>
    <w:p w14:paraId="23BD56F5" w14:textId="7CB85FEB" w:rsidR="08BA60F3" w:rsidRDefault="08BA60F3" w:rsidP="08BA60F3">
      <w:pPr>
        <w:jc w:val="both"/>
        <w:rPr>
          <w:rFonts w:ascii="Open Sans" w:eastAsiaTheme="majorEastAsia" w:hAnsi="Open Sans" w:cs="Open Sans"/>
          <w:b/>
          <w:bCs/>
          <w:color w:val="000000" w:themeColor="text1"/>
        </w:rPr>
      </w:pPr>
    </w:p>
    <w:p w14:paraId="193E93F2" w14:textId="77777777" w:rsidR="000A2D55" w:rsidRPr="000A2D55" w:rsidRDefault="000A2D55" w:rsidP="000A2D55">
      <w:pPr>
        <w:jc w:val="both"/>
        <w:rPr>
          <w:rFonts w:ascii="Open Sans" w:hAnsi="Open Sans" w:cs="Open Sans"/>
        </w:rPr>
      </w:pPr>
    </w:p>
    <w:p w14:paraId="75EF5E57" w14:textId="73C52CB1" w:rsidR="00060E13" w:rsidRPr="000A2D55" w:rsidRDefault="165EC7D3" w:rsidP="000A2D55">
      <w:pPr>
        <w:jc w:val="both"/>
        <w:rPr>
          <w:rFonts w:ascii="Open Sans" w:hAnsi="Open Sans" w:cs="Open Sans"/>
        </w:rPr>
      </w:pPr>
      <w:r w:rsidRPr="73BCE324">
        <w:rPr>
          <w:rFonts w:ascii="Open Sans" w:hAnsi="Open Sans" w:cs="Open Sans"/>
        </w:rPr>
        <w:t>Dla firm, które na co dzień nie analizują szczegółowo rynku energii, zmiana ustawy o OZE w zakresie umów  PPA będzie potwierdzeniem, że ten rodzaj kontraktów opiera</w:t>
      </w:r>
      <w:r w:rsidR="22E56174" w:rsidRPr="73BCE324">
        <w:rPr>
          <w:rFonts w:ascii="Open Sans" w:hAnsi="Open Sans" w:cs="Open Sans"/>
        </w:rPr>
        <w:t>ć</w:t>
      </w:r>
      <w:r w:rsidRPr="73BCE324">
        <w:rPr>
          <w:rFonts w:ascii="Open Sans" w:hAnsi="Open Sans" w:cs="Open Sans"/>
        </w:rPr>
        <w:t xml:space="preserve"> się </w:t>
      </w:r>
      <w:r w:rsidR="22E56174" w:rsidRPr="73BCE324">
        <w:rPr>
          <w:rFonts w:ascii="Open Sans" w:hAnsi="Open Sans" w:cs="Open Sans"/>
        </w:rPr>
        <w:t>będzie</w:t>
      </w:r>
      <w:r w:rsidR="2F96B805" w:rsidRPr="73BCE324">
        <w:rPr>
          <w:rFonts w:ascii="Open Sans" w:hAnsi="Open Sans" w:cs="Open Sans"/>
        </w:rPr>
        <w:t xml:space="preserve"> o</w:t>
      </w:r>
      <w:r w:rsidR="22E56174" w:rsidRPr="73BCE324">
        <w:rPr>
          <w:rFonts w:ascii="Open Sans" w:hAnsi="Open Sans" w:cs="Open Sans"/>
        </w:rPr>
        <w:t xml:space="preserve"> </w:t>
      </w:r>
      <w:r w:rsidRPr="73BCE324">
        <w:rPr>
          <w:rFonts w:ascii="Open Sans" w:hAnsi="Open Sans" w:cs="Open Sans"/>
        </w:rPr>
        <w:t xml:space="preserve">standard zapisany w ustawie. To </w:t>
      </w:r>
      <w:r w:rsidR="3FE2C759" w:rsidRPr="73BCE324">
        <w:rPr>
          <w:rFonts w:ascii="Open Sans" w:hAnsi="Open Sans" w:cs="Open Sans"/>
        </w:rPr>
        <w:t>ważne</w:t>
      </w:r>
      <w:r w:rsidRPr="73BCE324">
        <w:rPr>
          <w:rFonts w:ascii="Open Sans" w:hAnsi="Open Sans" w:cs="Open Sans"/>
        </w:rPr>
        <w:t xml:space="preserve">, gdyż do tej pory umowy te były kształtowane całkowicie dowolnie. Dzięki zmianie ustawy wzrośnie bezpieczeństwo obu stron kontraktu, ponieważ </w:t>
      </w:r>
      <w:r w:rsidR="67519596" w:rsidRPr="73BCE324">
        <w:rPr>
          <w:rFonts w:ascii="Open Sans" w:hAnsi="Open Sans" w:cs="Open Sans"/>
        </w:rPr>
        <w:t xml:space="preserve">prawo </w:t>
      </w:r>
      <w:r w:rsidRPr="73BCE324">
        <w:rPr>
          <w:rFonts w:ascii="Open Sans" w:hAnsi="Open Sans" w:cs="Open Sans"/>
        </w:rPr>
        <w:t xml:space="preserve">jasno określi, co ma się w nim znaleźć. Oczywiście przepisy pozostawiają swobodę rozwiązań dodatkowych, ale podstawowe zasady </w:t>
      </w:r>
      <w:r w:rsidR="67519596" w:rsidRPr="73BCE324">
        <w:rPr>
          <w:rFonts w:ascii="Open Sans" w:hAnsi="Open Sans" w:cs="Open Sans"/>
        </w:rPr>
        <w:t>będą już określone</w:t>
      </w:r>
      <w:r w:rsidRPr="73BCE324">
        <w:rPr>
          <w:rFonts w:ascii="Open Sans" w:hAnsi="Open Sans" w:cs="Open Sans"/>
        </w:rPr>
        <w:t xml:space="preserve">. </w:t>
      </w:r>
    </w:p>
    <w:p w14:paraId="38C1880E" w14:textId="77777777" w:rsidR="006D65F7" w:rsidRPr="000A2D55" w:rsidRDefault="006D65F7" w:rsidP="000A2D55">
      <w:pPr>
        <w:jc w:val="both"/>
        <w:rPr>
          <w:rFonts w:ascii="Open Sans" w:hAnsi="Open Sans" w:cs="Open Sans"/>
        </w:rPr>
      </w:pPr>
    </w:p>
    <w:p w14:paraId="35B21268" w14:textId="47F8B4F8" w:rsidR="00060E13" w:rsidRPr="001A0EF4" w:rsidRDefault="00060E13" w:rsidP="000A2D55">
      <w:pPr>
        <w:pStyle w:val="Akapitzlist"/>
        <w:numPr>
          <w:ilvl w:val="0"/>
          <w:numId w:val="3"/>
        </w:numPr>
        <w:jc w:val="both"/>
        <w:rPr>
          <w:rFonts w:ascii="Open Sans" w:hAnsi="Open Sans" w:cs="Open Sans"/>
          <w:i/>
          <w:iCs/>
        </w:rPr>
      </w:pPr>
      <w:r w:rsidRPr="001A0EF4">
        <w:rPr>
          <w:rFonts w:ascii="Open Sans" w:hAnsi="Open Sans" w:cs="Open Sans"/>
          <w:i/>
          <w:iCs/>
        </w:rPr>
        <w:t>Ta zmiana daje szansę na większą rozpoznawalnoś</w:t>
      </w:r>
      <w:r w:rsidR="005765BD" w:rsidRPr="001A0EF4">
        <w:rPr>
          <w:rFonts w:ascii="Open Sans" w:hAnsi="Open Sans" w:cs="Open Sans"/>
          <w:i/>
          <w:iCs/>
        </w:rPr>
        <w:t>ć</w:t>
      </w:r>
      <w:r w:rsidRPr="001A0EF4">
        <w:rPr>
          <w:rFonts w:ascii="Open Sans" w:hAnsi="Open Sans" w:cs="Open Sans"/>
          <w:i/>
          <w:iCs/>
        </w:rPr>
        <w:t xml:space="preserve"> rozwiązania</w:t>
      </w:r>
      <w:r w:rsidR="006D65F7" w:rsidRPr="001A0EF4">
        <w:rPr>
          <w:rFonts w:ascii="Open Sans" w:hAnsi="Open Sans" w:cs="Open Sans"/>
          <w:i/>
          <w:iCs/>
        </w:rPr>
        <w:t>,</w:t>
      </w:r>
      <w:r w:rsidRPr="001A0EF4">
        <w:rPr>
          <w:rFonts w:ascii="Open Sans" w:hAnsi="Open Sans" w:cs="Open Sans"/>
          <w:i/>
          <w:iCs/>
        </w:rPr>
        <w:t xml:space="preserve"> jakim jest zawarcie umowy PPA oraz wzrost zaufania do tego rodzaju umów</w:t>
      </w:r>
      <w:r w:rsidR="00EE363B" w:rsidRPr="001A0EF4">
        <w:rPr>
          <w:rFonts w:ascii="Open Sans" w:hAnsi="Open Sans" w:cs="Open Sans"/>
          <w:i/>
          <w:iCs/>
        </w:rPr>
        <w:t xml:space="preserve"> – </w:t>
      </w:r>
      <w:r w:rsidR="00EE363B" w:rsidRPr="001A0EF4">
        <w:rPr>
          <w:rFonts w:ascii="Open Sans" w:hAnsi="Open Sans" w:cs="Open Sans"/>
        </w:rPr>
        <w:t xml:space="preserve">komentuje </w:t>
      </w:r>
      <w:r w:rsidR="00EE363B" w:rsidRPr="001A0EF4">
        <w:rPr>
          <w:rFonts w:ascii="Open Sans" w:hAnsi="Open Sans" w:cs="Open Sans"/>
          <w:b/>
          <w:bCs/>
        </w:rPr>
        <w:t>Zbigniew Kinal</w:t>
      </w:r>
      <w:r w:rsidRPr="001A0EF4">
        <w:rPr>
          <w:rFonts w:ascii="Open Sans" w:hAnsi="Open Sans" w:cs="Open Sans"/>
        </w:rPr>
        <w:t>.</w:t>
      </w:r>
      <w:r w:rsidRPr="001A0EF4">
        <w:rPr>
          <w:rFonts w:ascii="Open Sans" w:hAnsi="Open Sans" w:cs="Open Sans"/>
          <w:i/>
          <w:iCs/>
        </w:rPr>
        <w:t xml:space="preserve"> </w:t>
      </w:r>
      <w:r w:rsidR="00EE363B" w:rsidRPr="001A0EF4">
        <w:rPr>
          <w:rFonts w:ascii="Open Sans" w:hAnsi="Open Sans" w:cs="Open Sans"/>
          <w:i/>
          <w:iCs/>
        </w:rPr>
        <w:t xml:space="preserve">- </w:t>
      </w:r>
      <w:r w:rsidRPr="001A0EF4">
        <w:rPr>
          <w:rFonts w:ascii="Open Sans" w:hAnsi="Open Sans" w:cs="Open Sans"/>
          <w:i/>
          <w:iCs/>
        </w:rPr>
        <w:t xml:space="preserve">Umowy PPA z ciekawych, ale </w:t>
      </w:r>
      <w:r w:rsidR="005765BD" w:rsidRPr="001A0EF4">
        <w:rPr>
          <w:rFonts w:ascii="Open Sans" w:hAnsi="Open Sans" w:cs="Open Sans"/>
          <w:i/>
          <w:iCs/>
        </w:rPr>
        <w:t>cały czas nieznanych w Polsce</w:t>
      </w:r>
      <w:r w:rsidRPr="001A0EF4">
        <w:rPr>
          <w:rFonts w:ascii="Open Sans" w:hAnsi="Open Sans" w:cs="Open Sans"/>
          <w:i/>
          <w:iCs/>
        </w:rPr>
        <w:t xml:space="preserve"> rozwiązań, staną się jednym z wielu rodzajów kontraktów energetycznych</w:t>
      </w:r>
      <w:r w:rsidR="005765BD" w:rsidRPr="001A0EF4">
        <w:rPr>
          <w:rFonts w:ascii="Open Sans" w:hAnsi="Open Sans" w:cs="Open Sans"/>
          <w:i/>
          <w:iCs/>
        </w:rPr>
        <w:t xml:space="preserve"> pozwalających kupić energię do firmy</w:t>
      </w:r>
      <w:r w:rsidRPr="001A0EF4">
        <w:rPr>
          <w:rFonts w:ascii="Open Sans" w:hAnsi="Open Sans" w:cs="Open Sans"/>
          <w:i/>
          <w:iCs/>
        </w:rPr>
        <w:t xml:space="preserve">. </w:t>
      </w:r>
    </w:p>
    <w:p w14:paraId="39F38B23" w14:textId="77777777" w:rsidR="00EE363B" w:rsidRDefault="00EE363B" w:rsidP="000A2D55">
      <w:pPr>
        <w:jc w:val="both"/>
        <w:rPr>
          <w:rFonts w:ascii="Open Sans" w:hAnsi="Open Sans" w:cs="Open Sans"/>
        </w:rPr>
      </w:pPr>
    </w:p>
    <w:p w14:paraId="2E1A4EFE" w14:textId="5C7E3AEF" w:rsidR="006870C2" w:rsidRPr="000A2D55" w:rsidRDefault="67519596" w:rsidP="000A2D55">
      <w:pPr>
        <w:jc w:val="both"/>
        <w:rPr>
          <w:rFonts w:ascii="Open Sans" w:hAnsi="Open Sans" w:cs="Open Sans"/>
        </w:rPr>
      </w:pPr>
      <w:r w:rsidRPr="73BCE324">
        <w:rPr>
          <w:rFonts w:ascii="Open Sans" w:hAnsi="Open Sans" w:cs="Open Sans"/>
        </w:rPr>
        <w:t xml:space="preserve">Ważną zmianą jest też konieczność zgłaszania zawartych umów PPA do </w:t>
      </w:r>
      <w:r w:rsidR="22E56174" w:rsidRPr="73BCE324">
        <w:rPr>
          <w:rFonts w:ascii="Open Sans" w:hAnsi="Open Sans" w:cs="Open Sans"/>
        </w:rPr>
        <w:t xml:space="preserve">Prezesa </w:t>
      </w:r>
      <w:r w:rsidRPr="73BCE324">
        <w:rPr>
          <w:rFonts w:ascii="Open Sans" w:hAnsi="Open Sans" w:cs="Open Sans"/>
        </w:rPr>
        <w:t>Urzędu Regulacji Energetyki – to pokaże skalę stosowania tych rozwiązań, niezwykle korzystnych dla transformacji energetycznej gospodarki oraz rozwoju OZE oraz zmniejszenia emisji CO</w:t>
      </w:r>
      <w:r w:rsidR="5C2FB94C" w:rsidRPr="73BCE324">
        <w:rPr>
          <w:rFonts w:ascii="Open Sans" w:hAnsi="Open Sans" w:cs="Open Sans"/>
        </w:rPr>
        <w:t>2</w:t>
      </w:r>
      <w:r w:rsidRPr="73BCE324">
        <w:rPr>
          <w:rFonts w:ascii="Open Sans" w:hAnsi="Open Sans" w:cs="Open Sans"/>
        </w:rPr>
        <w:t xml:space="preserve">. Dziś  o umowach PPA wiemy tyle, ile przekażą firmy w komunikatach PR czy giełdowych. Nowelizacja ustawy o OZE zmieni ten stan rzeczy. </w:t>
      </w:r>
    </w:p>
    <w:p w14:paraId="17DF3C67" w14:textId="77777777" w:rsidR="00EE363B" w:rsidRDefault="00EE363B" w:rsidP="000A2D55">
      <w:pPr>
        <w:jc w:val="both"/>
        <w:rPr>
          <w:rFonts w:ascii="Open Sans" w:hAnsi="Open Sans" w:cs="Open Sans"/>
          <w:b/>
          <w:bCs/>
        </w:rPr>
      </w:pPr>
    </w:p>
    <w:p w14:paraId="452E94C2" w14:textId="6108BD96" w:rsidR="009A0621" w:rsidRPr="00EE363B" w:rsidRDefault="00EE363B" w:rsidP="000A2D55">
      <w:pPr>
        <w:jc w:val="both"/>
        <w:rPr>
          <w:rFonts w:ascii="Open Sans" w:hAnsi="Open Sans" w:cs="Open Sans"/>
          <w:b/>
          <w:bCs/>
        </w:rPr>
      </w:pPr>
      <w:r w:rsidRPr="00EE363B">
        <w:rPr>
          <w:rFonts w:ascii="Open Sans" w:hAnsi="Open Sans" w:cs="Open Sans"/>
          <w:b/>
          <w:bCs/>
        </w:rPr>
        <w:t xml:space="preserve">Linia </w:t>
      </w:r>
      <w:r>
        <w:rPr>
          <w:rFonts w:ascii="Open Sans" w:hAnsi="Open Sans" w:cs="Open Sans"/>
          <w:b/>
          <w:bCs/>
        </w:rPr>
        <w:t xml:space="preserve">energetyczna </w:t>
      </w:r>
      <w:r w:rsidRPr="00EE363B">
        <w:rPr>
          <w:rFonts w:ascii="Open Sans" w:hAnsi="Open Sans" w:cs="Open Sans"/>
          <w:b/>
          <w:bCs/>
        </w:rPr>
        <w:t xml:space="preserve">z OZE do fabryki </w:t>
      </w:r>
    </w:p>
    <w:p w14:paraId="05275849" w14:textId="055B4E51" w:rsidR="00060E13" w:rsidRPr="00B25A6B" w:rsidRDefault="3C5869B9" w:rsidP="00EE363B">
      <w:pPr>
        <w:pStyle w:val="Akapitzlist"/>
        <w:numPr>
          <w:ilvl w:val="0"/>
          <w:numId w:val="3"/>
        </w:numPr>
        <w:jc w:val="both"/>
        <w:rPr>
          <w:rFonts w:ascii="Open Sans" w:hAnsi="Open Sans" w:cs="Open Sans"/>
          <w:i/>
          <w:iCs/>
        </w:rPr>
      </w:pPr>
      <w:r w:rsidRPr="00B25A6B">
        <w:rPr>
          <w:rFonts w:ascii="Open Sans" w:hAnsi="Open Sans" w:cs="Open Sans"/>
          <w:i/>
          <w:iCs/>
        </w:rPr>
        <w:t xml:space="preserve">Drugą istotną zmianą będzie możliwość wybudowania własnej linii energetycznej łączącej OZE z odbiorcą – </w:t>
      </w:r>
      <w:r w:rsidRPr="00B25A6B">
        <w:rPr>
          <w:rFonts w:ascii="Open Sans" w:hAnsi="Open Sans" w:cs="Open Sans"/>
        </w:rPr>
        <w:t>komentuje Zbigniew Kinal</w:t>
      </w:r>
      <w:r w:rsidR="00B25A6B">
        <w:rPr>
          <w:rFonts w:ascii="Open Sans" w:hAnsi="Open Sans" w:cs="Open Sans"/>
        </w:rPr>
        <w:t>, prezes OZEOS</w:t>
      </w:r>
      <w:r w:rsidRPr="00B25A6B">
        <w:rPr>
          <w:rFonts w:ascii="Open Sans" w:hAnsi="Open Sans" w:cs="Open Sans"/>
        </w:rPr>
        <w:t>.</w:t>
      </w:r>
      <w:r w:rsidRPr="00B25A6B">
        <w:rPr>
          <w:rFonts w:ascii="Open Sans" w:hAnsi="Open Sans" w:cs="Open Sans"/>
          <w:i/>
          <w:iCs/>
        </w:rPr>
        <w:t xml:space="preserve"> </w:t>
      </w:r>
      <w:r w:rsidR="2A414ED1" w:rsidRPr="00B25A6B">
        <w:rPr>
          <w:rFonts w:ascii="Open Sans" w:hAnsi="Open Sans" w:cs="Open Sans"/>
          <w:i/>
          <w:iCs/>
        </w:rPr>
        <w:t>–</w:t>
      </w:r>
      <w:r w:rsidRPr="00B25A6B">
        <w:rPr>
          <w:rFonts w:ascii="Open Sans" w:hAnsi="Open Sans" w:cs="Open Sans"/>
          <w:i/>
          <w:iCs/>
        </w:rPr>
        <w:t xml:space="preserve"> Dziś jest to niemal niemożliwe. Własne połączenie, mimo koszów na jego wybudowanie – pozwoli na spore oszczędności na opłacie dystrybucyjnej, którą dziś pobierają Operatorzy Systemu Dystrybucyjnego za </w:t>
      </w:r>
      <w:r w:rsidR="22E56174" w:rsidRPr="00B25A6B">
        <w:rPr>
          <w:rFonts w:ascii="Open Sans" w:hAnsi="Open Sans" w:cs="Open Sans"/>
          <w:i/>
          <w:iCs/>
        </w:rPr>
        <w:t>przesyłanie energii poprzez</w:t>
      </w:r>
      <w:r w:rsidRPr="00B25A6B">
        <w:rPr>
          <w:rFonts w:ascii="Open Sans" w:hAnsi="Open Sans" w:cs="Open Sans"/>
          <w:i/>
          <w:iCs/>
        </w:rPr>
        <w:t xml:space="preserve"> </w:t>
      </w:r>
      <w:r w:rsidR="22E56174" w:rsidRPr="00B25A6B">
        <w:rPr>
          <w:rFonts w:ascii="Open Sans" w:hAnsi="Open Sans" w:cs="Open Sans"/>
          <w:i/>
          <w:iCs/>
        </w:rPr>
        <w:t xml:space="preserve">ich </w:t>
      </w:r>
      <w:r w:rsidRPr="00B25A6B">
        <w:rPr>
          <w:rFonts w:ascii="Open Sans" w:hAnsi="Open Sans" w:cs="Open Sans"/>
          <w:i/>
          <w:iCs/>
        </w:rPr>
        <w:t>sieci elektroenergetyczn</w:t>
      </w:r>
      <w:r w:rsidR="22E56174" w:rsidRPr="00B25A6B">
        <w:rPr>
          <w:rFonts w:ascii="Open Sans" w:hAnsi="Open Sans" w:cs="Open Sans"/>
          <w:i/>
          <w:iCs/>
        </w:rPr>
        <w:t>e</w:t>
      </w:r>
      <w:r w:rsidRPr="00B25A6B">
        <w:rPr>
          <w:rFonts w:ascii="Open Sans" w:hAnsi="Open Sans" w:cs="Open Sans"/>
          <w:i/>
          <w:iCs/>
        </w:rPr>
        <w:t xml:space="preserve">. Jeśli jednak źródło zielonej energii będzie w pobliżu na przykład fabryki, to może zasilać ją bezpośrednio przez wybudowaną własną linię. </w:t>
      </w:r>
    </w:p>
    <w:p w14:paraId="3D5C39FB" w14:textId="77777777" w:rsidR="009A0621" w:rsidRPr="000A2D55" w:rsidRDefault="009A0621" w:rsidP="000A2D55">
      <w:pPr>
        <w:jc w:val="both"/>
        <w:rPr>
          <w:rFonts w:ascii="Open Sans" w:hAnsi="Open Sans" w:cs="Open Sans"/>
        </w:rPr>
      </w:pPr>
    </w:p>
    <w:p w14:paraId="1A375225" w14:textId="08DA4155" w:rsidR="009A0621" w:rsidRPr="000A2D55" w:rsidRDefault="009A0621" w:rsidP="000A2D55">
      <w:pPr>
        <w:jc w:val="both"/>
        <w:rPr>
          <w:rFonts w:ascii="Open Sans" w:hAnsi="Open Sans" w:cs="Open Sans"/>
        </w:rPr>
      </w:pPr>
      <w:r w:rsidRPr="000A2D55">
        <w:rPr>
          <w:rFonts w:ascii="Open Sans" w:hAnsi="Open Sans" w:cs="Open Sans"/>
        </w:rPr>
        <w:t xml:space="preserve">Zdaniem Zbigniewa Kinala, szersze wejście na polski rynek energetyczny rozwiązań promujących zakup energii elektrycznej prosto ze źródła – farmy wiatrowej czy fotowoltaicznej, elektrowni wodnej albo biogazowni – oznacza, że warto będzie jeszcze lepiej dopasowywać profile produkcji zielonej energii, zwłaszcza zależnej od pogody, do profilu zużycia przez przedsiębiorstwo. </w:t>
      </w:r>
    </w:p>
    <w:p w14:paraId="4C190756" w14:textId="14863FEF" w:rsidR="009A0621" w:rsidRPr="00B25A6B" w:rsidRDefault="009A0621" w:rsidP="000A2D55">
      <w:pPr>
        <w:pStyle w:val="Akapitzlist"/>
        <w:numPr>
          <w:ilvl w:val="0"/>
          <w:numId w:val="2"/>
        </w:numPr>
        <w:jc w:val="both"/>
        <w:rPr>
          <w:rFonts w:ascii="Open Sans" w:hAnsi="Open Sans" w:cs="Open Sans"/>
          <w:i/>
          <w:iCs/>
        </w:rPr>
      </w:pPr>
      <w:r w:rsidRPr="00B25A6B">
        <w:rPr>
          <w:rFonts w:ascii="Open Sans" w:hAnsi="Open Sans" w:cs="Open Sans"/>
          <w:i/>
          <w:iCs/>
        </w:rPr>
        <w:t xml:space="preserve">Zgodnie z danymi, które opracowujemy za pomocą platformy OZEOS możliwe jest osiągnięcie dopasowania produkcji do zużycia nawet w 80 procentach – </w:t>
      </w:r>
      <w:r w:rsidRPr="00B25A6B">
        <w:rPr>
          <w:rFonts w:ascii="Open Sans" w:hAnsi="Open Sans" w:cs="Open Sans"/>
        </w:rPr>
        <w:t>mówi Zbigniew Kinal.</w:t>
      </w:r>
      <w:r w:rsidRPr="00B25A6B">
        <w:rPr>
          <w:rFonts w:ascii="Open Sans" w:hAnsi="Open Sans" w:cs="Open Sans"/>
          <w:i/>
          <w:iCs/>
        </w:rPr>
        <w:t xml:space="preserve"> – Oczywiście mówimy tu o </w:t>
      </w:r>
      <w:proofErr w:type="spellStart"/>
      <w:r w:rsidRPr="00B25A6B">
        <w:rPr>
          <w:rFonts w:ascii="Open Sans" w:hAnsi="Open Sans" w:cs="Open Sans"/>
          <w:i/>
          <w:iCs/>
        </w:rPr>
        <w:t>miksie</w:t>
      </w:r>
      <w:proofErr w:type="spellEnd"/>
      <w:r w:rsidRPr="00B25A6B">
        <w:rPr>
          <w:rFonts w:ascii="Open Sans" w:hAnsi="Open Sans" w:cs="Open Sans"/>
          <w:i/>
          <w:iCs/>
        </w:rPr>
        <w:t xml:space="preserve"> różnych źródeł. </w:t>
      </w:r>
    </w:p>
    <w:p w14:paraId="3EC084D8" w14:textId="77777777" w:rsidR="00B25A6B" w:rsidRDefault="00B25A6B" w:rsidP="00B25A6B">
      <w:pPr>
        <w:jc w:val="both"/>
        <w:rPr>
          <w:rFonts w:ascii="Open Sans" w:hAnsi="Open Sans" w:cs="Open Sans"/>
        </w:rPr>
      </w:pPr>
    </w:p>
    <w:p w14:paraId="513AE8EB" w14:textId="6C95829C" w:rsidR="006D65F7" w:rsidRPr="00B25A6B" w:rsidRDefault="2A3D5AC1" w:rsidP="00B25A6B">
      <w:pPr>
        <w:jc w:val="both"/>
        <w:rPr>
          <w:rFonts w:ascii="Open Sans" w:hAnsi="Open Sans" w:cs="Open Sans"/>
        </w:rPr>
      </w:pPr>
      <w:r w:rsidRPr="00B25A6B">
        <w:rPr>
          <w:rFonts w:ascii="Open Sans" w:hAnsi="Open Sans" w:cs="Open Sans"/>
        </w:rPr>
        <w:t>B</w:t>
      </w:r>
      <w:r w:rsidR="3C5869B9" w:rsidRPr="00B25A6B">
        <w:rPr>
          <w:rFonts w:ascii="Open Sans" w:hAnsi="Open Sans" w:cs="Open Sans"/>
        </w:rPr>
        <w:t>rakując</w:t>
      </w:r>
      <w:r w:rsidR="02D75437" w:rsidRPr="00B25A6B">
        <w:rPr>
          <w:rFonts w:ascii="Open Sans" w:hAnsi="Open Sans" w:cs="Open Sans"/>
        </w:rPr>
        <w:t>ą</w:t>
      </w:r>
      <w:r w:rsidR="3C5869B9" w:rsidRPr="00B25A6B">
        <w:rPr>
          <w:rFonts w:ascii="Open Sans" w:hAnsi="Open Sans" w:cs="Open Sans"/>
        </w:rPr>
        <w:t xml:space="preserve"> </w:t>
      </w:r>
      <w:r w:rsidRPr="00B25A6B">
        <w:rPr>
          <w:rFonts w:ascii="Open Sans" w:hAnsi="Open Sans" w:cs="Open Sans"/>
        </w:rPr>
        <w:t xml:space="preserve">zieloną </w:t>
      </w:r>
      <w:r w:rsidR="3C5869B9" w:rsidRPr="00B25A6B">
        <w:rPr>
          <w:rFonts w:ascii="Open Sans" w:hAnsi="Open Sans" w:cs="Open Sans"/>
        </w:rPr>
        <w:t>energię uzupełnia produkcja z elektrowni konwencjonalnych. Im lepsze dopasowanie zielonej energii do profilu odbiorcy</w:t>
      </w:r>
      <w:r w:rsidRPr="00B25A6B">
        <w:rPr>
          <w:rFonts w:ascii="Open Sans" w:hAnsi="Open Sans" w:cs="Open Sans"/>
        </w:rPr>
        <w:t>,</w:t>
      </w:r>
      <w:r w:rsidR="3C5869B9" w:rsidRPr="00B25A6B">
        <w:rPr>
          <w:rFonts w:ascii="Open Sans" w:hAnsi="Open Sans" w:cs="Open Sans"/>
        </w:rPr>
        <w:t xml:space="preserve"> tym mniejszy udział energii z paliw kopalnych i mniejsza emisja CO2. </w:t>
      </w:r>
      <w:r w:rsidR="02D75437" w:rsidRPr="00B25A6B">
        <w:rPr>
          <w:rFonts w:ascii="Open Sans" w:hAnsi="Open Sans" w:cs="Open Sans"/>
        </w:rPr>
        <w:t xml:space="preserve"> Tym dopasowaniem zajmuje się dla odbiorcy tzw</w:t>
      </w:r>
      <w:r w:rsidR="7E85CDB3" w:rsidRPr="00B25A6B">
        <w:rPr>
          <w:rFonts w:ascii="Open Sans" w:hAnsi="Open Sans" w:cs="Open Sans"/>
        </w:rPr>
        <w:t>.</w:t>
      </w:r>
      <w:r w:rsidR="02D75437" w:rsidRPr="00B25A6B">
        <w:rPr>
          <w:rFonts w:ascii="Open Sans" w:hAnsi="Open Sans" w:cs="Open Sans"/>
        </w:rPr>
        <w:t xml:space="preserve"> POB </w:t>
      </w:r>
      <w:r w:rsidR="270118F1" w:rsidRPr="00B25A6B">
        <w:rPr>
          <w:rFonts w:ascii="Open Sans" w:hAnsi="Open Sans" w:cs="Open Sans"/>
        </w:rPr>
        <w:t xml:space="preserve">- </w:t>
      </w:r>
      <w:r w:rsidR="02D75437" w:rsidRPr="00B25A6B">
        <w:rPr>
          <w:rFonts w:ascii="Open Sans" w:hAnsi="Open Sans" w:cs="Open Sans"/>
        </w:rPr>
        <w:t>Podmiot Odpowiedzialny z Bilansowanie.</w:t>
      </w:r>
    </w:p>
    <w:p w14:paraId="1E0B86C9" w14:textId="77777777" w:rsidR="006D65F7" w:rsidRPr="000A2D55" w:rsidRDefault="006D65F7" w:rsidP="000A2D55">
      <w:pPr>
        <w:pStyle w:val="Akapitzlist"/>
        <w:jc w:val="both"/>
        <w:rPr>
          <w:rFonts w:ascii="Open Sans" w:hAnsi="Open Sans" w:cs="Open Sans"/>
        </w:rPr>
      </w:pPr>
    </w:p>
    <w:p w14:paraId="0C218230" w14:textId="6622663B" w:rsidR="009A0621" w:rsidRPr="00EE363B" w:rsidRDefault="00EE363B" w:rsidP="000A2D55">
      <w:pPr>
        <w:jc w:val="both"/>
        <w:rPr>
          <w:rFonts w:ascii="Open Sans" w:hAnsi="Open Sans" w:cs="Open Sans"/>
          <w:b/>
          <w:bCs/>
        </w:rPr>
      </w:pPr>
      <w:r w:rsidRPr="00EE363B">
        <w:rPr>
          <w:rFonts w:ascii="Open Sans" w:hAnsi="Open Sans" w:cs="Open Sans"/>
          <w:b/>
          <w:bCs/>
        </w:rPr>
        <w:t>Wyłączenia OZE – co z odszkodowaniami?</w:t>
      </w:r>
    </w:p>
    <w:p w14:paraId="00000039" w14:textId="17B7B99A" w:rsidR="00604BD0" w:rsidRPr="007E3C5B" w:rsidRDefault="2A3D5AC1" w:rsidP="007E3C5B">
      <w:pPr>
        <w:pStyle w:val="Akapitzlist"/>
        <w:numPr>
          <w:ilvl w:val="0"/>
          <w:numId w:val="2"/>
        </w:numPr>
        <w:jc w:val="both"/>
        <w:rPr>
          <w:rFonts w:ascii="Open Sans" w:hAnsi="Open Sans" w:cs="Open Sans"/>
          <w:i/>
          <w:iCs/>
        </w:rPr>
      </w:pPr>
      <w:r w:rsidRPr="007E3C5B">
        <w:rPr>
          <w:rFonts w:ascii="Open Sans" w:hAnsi="Open Sans" w:cs="Open Sans"/>
          <w:i/>
          <w:iCs/>
        </w:rPr>
        <w:t xml:space="preserve">W zmianach ustaw energetycznych  nie można pominąć jeszcze  jednej kwestii – </w:t>
      </w:r>
      <w:r w:rsidRPr="007E3C5B">
        <w:rPr>
          <w:rFonts w:ascii="Open Sans" w:hAnsi="Open Sans" w:cs="Open Sans"/>
        </w:rPr>
        <w:t>zaznacza  Zbigniew Kinal</w:t>
      </w:r>
      <w:r w:rsidR="007E3C5B">
        <w:rPr>
          <w:rFonts w:ascii="Open Sans" w:hAnsi="Open Sans" w:cs="Open Sans"/>
        </w:rPr>
        <w:t xml:space="preserve"> z OZEOS</w:t>
      </w:r>
      <w:r w:rsidRPr="007E3C5B">
        <w:rPr>
          <w:rFonts w:ascii="Open Sans" w:hAnsi="Open Sans" w:cs="Open Sans"/>
        </w:rPr>
        <w:t>.</w:t>
      </w:r>
      <w:r w:rsidRPr="007E3C5B">
        <w:rPr>
          <w:rFonts w:ascii="Open Sans" w:hAnsi="Open Sans" w:cs="Open Sans"/>
          <w:i/>
          <w:iCs/>
        </w:rPr>
        <w:t xml:space="preserve"> – Przedsiębiorstwa zarządzające sieci</w:t>
      </w:r>
      <w:r w:rsidR="359139FA" w:rsidRPr="007E3C5B">
        <w:rPr>
          <w:rFonts w:ascii="Open Sans" w:hAnsi="Open Sans" w:cs="Open Sans"/>
          <w:i/>
          <w:iCs/>
        </w:rPr>
        <w:t>ami</w:t>
      </w:r>
      <w:r w:rsidRPr="007E3C5B">
        <w:rPr>
          <w:rFonts w:ascii="Open Sans" w:hAnsi="Open Sans" w:cs="Open Sans"/>
          <w:i/>
          <w:iCs/>
        </w:rPr>
        <w:t xml:space="preserve"> energetyczn</w:t>
      </w:r>
      <w:r w:rsidR="359139FA" w:rsidRPr="007E3C5B">
        <w:rPr>
          <w:rFonts w:ascii="Open Sans" w:hAnsi="Open Sans" w:cs="Open Sans"/>
          <w:i/>
          <w:iCs/>
        </w:rPr>
        <w:t>ymi</w:t>
      </w:r>
      <w:r w:rsidRPr="007E3C5B">
        <w:rPr>
          <w:rFonts w:ascii="Open Sans" w:hAnsi="Open Sans" w:cs="Open Sans"/>
          <w:i/>
          <w:iCs/>
        </w:rPr>
        <w:t xml:space="preserve"> </w:t>
      </w:r>
      <w:r w:rsidR="359139FA" w:rsidRPr="007E3C5B">
        <w:rPr>
          <w:rFonts w:ascii="Open Sans" w:hAnsi="Open Sans" w:cs="Open Sans"/>
          <w:i/>
          <w:iCs/>
        </w:rPr>
        <w:t>będą</w:t>
      </w:r>
      <w:r w:rsidRPr="007E3C5B">
        <w:rPr>
          <w:rFonts w:ascii="Open Sans" w:hAnsi="Open Sans" w:cs="Open Sans"/>
          <w:i/>
          <w:iCs/>
        </w:rPr>
        <w:t xml:space="preserve"> mogły </w:t>
      </w:r>
      <w:r w:rsidR="359139FA" w:rsidRPr="007E3C5B">
        <w:rPr>
          <w:rFonts w:ascii="Open Sans" w:hAnsi="Open Sans" w:cs="Open Sans"/>
          <w:i/>
          <w:iCs/>
        </w:rPr>
        <w:t>wyłączyć</w:t>
      </w:r>
      <w:r w:rsidRPr="007E3C5B">
        <w:rPr>
          <w:rFonts w:ascii="Open Sans" w:hAnsi="Open Sans" w:cs="Open Sans"/>
          <w:i/>
          <w:iCs/>
        </w:rPr>
        <w:t xml:space="preserve"> </w:t>
      </w:r>
      <w:r w:rsidR="22E56174" w:rsidRPr="007E3C5B">
        <w:rPr>
          <w:rFonts w:ascii="Open Sans" w:hAnsi="Open Sans" w:cs="Open Sans"/>
          <w:i/>
          <w:iCs/>
        </w:rPr>
        <w:t xml:space="preserve">źródła </w:t>
      </w:r>
      <w:r w:rsidRPr="007E3C5B">
        <w:rPr>
          <w:rFonts w:ascii="Open Sans" w:hAnsi="Open Sans" w:cs="Open Sans"/>
          <w:i/>
          <w:iCs/>
        </w:rPr>
        <w:t>OZE</w:t>
      </w:r>
      <w:r w:rsidR="1CEA17B7" w:rsidRPr="007E3C5B">
        <w:rPr>
          <w:rFonts w:ascii="Open Sans" w:hAnsi="Open Sans" w:cs="Open Sans"/>
          <w:i/>
          <w:iCs/>
        </w:rPr>
        <w:t>,</w:t>
      </w:r>
      <w:r w:rsidRPr="007E3C5B">
        <w:rPr>
          <w:rFonts w:ascii="Open Sans" w:hAnsi="Open Sans" w:cs="Open Sans"/>
          <w:i/>
          <w:iCs/>
        </w:rPr>
        <w:t xml:space="preserve"> a nawet magazyny </w:t>
      </w:r>
      <w:r w:rsidR="359139FA" w:rsidRPr="007E3C5B">
        <w:rPr>
          <w:rFonts w:ascii="Open Sans" w:hAnsi="Open Sans" w:cs="Open Sans"/>
          <w:i/>
          <w:iCs/>
        </w:rPr>
        <w:t>energii</w:t>
      </w:r>
      <w:r w:rsidRPr="007E3C5B">
        <w:rPr>
          <w:rFonts w:ascii="Open Sans" w:hAnsi="Open Sans" w:cs="Open Sans"/>
          <w:i/>
          <w:iCs/>
        </w:rPr>
        <w:t>,</w:t>
      </w:r>
      <w:r w:rsidR="359139FA" w:rsidRPr="007E3C5B">
        <w:rPr>
          <w:rFonts w:ascii="Open Sans" w:hAnsi="Open Sans" w:cs="Open Sans"/>
          <w:i/>
          <w:iCs/>
        </w:rPr>
        <w:t xml:space="preserve"> </w:t>
      </w:r>
      <w:r w:rsidRPr="007E3C5B">
        <w:rPr>
          <w:rFonts w:ascii="Open Sans" w:hAnsi="Open Sans" w:cs="Open Sans"/>
          <w:i/>
          <w:iCs/>
        </w:rPr>
        <w:t>jeśli dojdzie do zbyt dużej produkcji energii</w:t>
      </w:r>
      <w:r w:rsidR="22E56174" w:rsidRPr="007E3C5B">
        <w:rPr>
          <w:rFonts w:ascii="Open Sans" w:hAnsi="Open Sans" w:cs="Open Sans"/>
          <w:i/>
          <w:iCs/>
        </w:rPr>
        <w:t xml:space="preserve"> zagrażającej stabilności sieci energetycznej</w:t>
      </w:r>
      <w:r w:rsidRPr="007E3C5B">
        <w:rPr>
          <w:rFonts w:ascii="Open Sans" w:hAnsi="Open Sans" w:cs="Open Sans"/>
          <w:i/>
          <w:iCs/>
        </w:rPr>
        <w:t xml:space="preserve">. Za to </w:t>
      </w:r>
      <w:r w:rsidR="359139FA" w:rsidRPr="007E3C5B">
        <w:rPr>
          <w:rFonts w:ascii="Open Sans" w:hAnsi="Open Sans" w:cs="Open Sans"/>
          <w:i/>
          <w:iCs/>
        </w:rPr>
        <w:t>wytwórcy będą otrzymywali odszkodowania</w:t>
      </w:r>
      <w:r w:rsidRPr="007E3C5B">
        <w:rPr>
          <w:rFonts w:ascii="Open Sans" w:hAnsi="Open Sans" w:cs="Open Sans"/>
          <w:i/>
          <w:iCs/>
        </w:rPr>
        <w:t xml:space="preserve">. W mojej ocenie </w:t>
      </w:r>
      <w:r w:rsidR="22E56174" w:rsidRPr="007E3C5B">
        <w:rPr>
          <w:rFonts w:ascii="Open Sans" w:hAnsi="Open Sans" w:cs="Open Sans"/>
          <w:i/>
          <w:iCs/>
        </w:rPr>
        <w:t>jest to ważny element Umowy PPA d</w:t>
      </w:r>
      <w:r w:rsidRPr="007E3C5B">
        <w:rPr>
          <w:rFonts w:ascii="Open Sans" w:hAnsi="Open Sans" w:cs="Open Sans"/>
          <w:i/>
          <w:iCs/>
        </w:rPr>
        <w:t xml:space="preserve">la </w:t>
      </w:r>
      <w:r w:rsidR="22E56174" w:rsidRPr="007E3C5B">
        <w:rPr>
          <w:rFonts w:ascii="Open Sans" w:hAnsi="Open Sans" w:cs="Open Sans"/>
          <w:i/>
          <w:iCs/>
        </w:rPr>
        <w:t>odbiorców</w:t>
      </w:r>
      <w:r w:rsidRPr="007E3C5B">
        <w:rPr>
          <w:rFonts w:ascii="Open Sans" w:hAnsi="Open Sans" w:cs="Open Sans"/>
          <w:i/>
          <w:iCs/>
        </w:rPr>
        <w:t xml:space="preserve">, </w:t>
      </w:r>
      <w:r w:rsidR="22E56174" w:rsidRPr="007E3C5B">
        <w:rPr>
          <w:rFonts w:ascii="Open Sans" w:hAnsi="Open Sans" w:cs="Open Sans"/>
          <w:i/>
          <w:iCs/>
        </w:rPr>
        <w:t>w sytuacji kiedy</w:t>
      </w:r>
      <w:r w:rsidR="359139FA" w:rsidRPr="007E3C5B">
        <w:rPr>
          <w:rFonts w:ascii="Open Sans" w:hAnsi="Open Sans" w:cs="Open Sans"/>
          <w:i/>
          <w:iCs/>
        </w:rPr>
        <w:t xml:space="preserve"> </w:t>
      </w:r>
      <w:r w:rsidR="22E56174" w:rsidRPr="007E3C5B">
        <w:rPr>
          <w:rFonts w:ascii="Open Sans" w:hAnsi="Open Sans" w:cs="Open Sans"/>
          <w:i/>
          <w:iCs/>
        </w:rPr>
        <w:t>odbiorcy</w:t>
      </w:r>
      <w:r w:rsidR="359139FA" w:rsidRPr="007E3C5B">
        <w:rPr>
          <w:rFonts w:ascii="Open Sans" w:hAnsi="Open Sans" w:cs="Open Sans"/>
          <w:i/>
          <w:iCs/>
        </w:rPr>
        <w:t xml:space="preserve"> w związku z włączeniami OZE nie otrzymają zamówionej ilości zielonej energii. </w:t>
      </w:r>
      <w:r w:rsidR="1364A28F" w:rsidRPr="007E3C5B">
        <w:rPr>
          <w:rFonts w:ascii="Open Sans" w:hAnsi="Open Sans" w:cs="Open Sans"/>
          <w:i/>
          <w:iCs/>
        </w:rPr>
        <w:t>To w</w:t>
      </w:r>
      <w:r w:rsidR="22E56174" w:rsidRPr="007E3C5B">
        <w:rPr>
          <w:rFonts w:ascii="Open Sans" w:hAnsi="Open Sans" w:cs="Open Sans"/>
          <w:i/>
          <w:iCs/>
        </w:rPr>
        <w:t>ażny element do uzgodnienia tego w treści kontraktu PPA.</w:t>
      </w:r>
    </w:p>
    <w:p w14:paraId="19C805B9" w14:textId="205894B1" w:rsidR="004754E4" w:rsidRDefault="004754E4" w:rsidP="000A2D55">
      <w:pPr>
        <w:jc w:val="both"/>
        <w:rPr>
          <w:rFonts w:ascii="Open Sans" w:hAnsi="Open Sans" w:cs="Open Sans"/>
        </w:rPr>
      </w:pPr>
    </w:p>
    <w:p w14:paraId="0628997F" w14:textId="6CAD520C" w:rsidR="004754E4" w:rsidRDefault="004754E4" w:rsidP="000A2D55">
      <w:pPr>
        <w:jc w:val="both"/>
        <w:rPr>
          <w:rFonts w:ascii="Open Sans" w:hAnsi="Open Sans" w:cs="Open Sans"/>
          <w:b/>
          <w:bCs/>
        </w:rPr>
      </w:pPr>
      <w:r w:rsidRPr="004754E4">
        <w:rPr>
          <w:rFonts w:ascii="Open Sans" w:hAnsi="Open Sans" w:cs="Open Sans"/>
          <w:b/>
          <w:bCs/>
        </w:rPr>
        <w:t>Co wg projektu nowelizacji ustawy OZE powinno się znaleźć w umowie PPA?</w:t>
      </w:r>
    </w:p>
    <w:p w14:paraId="15E90C69" w14:textId="155D65CB" w:rsidR="004754E4" w:rsidRPr="00D92E46" w:rsidRDefault="00D92E46" w:rsidP="000A2D55">
      <w:pPr>
        <w:jc w:val="both"/>
        <w:rPr>
          <w:rFonts w:ascii="Open Sans" w:hAnsi="Open Sans" w:cs="Open Sans"/>
        </w:rPr>
      </w:pPr>
      <w:r w:rsidRPr="745A6CD1">
        <w:rPr>
          <w:rFonts w:ascii="Open Sans" w:hAnsi="Open Sans" w:cs="Open Sans"/>
        </w:rPr>
        <w:t xml:space="preserve">Projekt nowelizacji ustawy OZE definiuje </w:t>
      </w:r>
      <w:r w:rsidR="69E79849" w:rsidRPr="745A6CD1">
        <w:rPr>
          <w:rFonts w:ascii="Open Sans" w:hAnsi="Open Sans" w:cs="Open Sans"/>
        </w:rPr>
        <w:t>elementy, które powinny znaleźć się  w umowie PPA. Zgodnie z art. 5 ust. 2 Prawa energetycznego</w:t>
      </w:r>
      <w:r w:rsidR="1B4CEDE6" w:rsidRPr="745A6CD1">
        <w:rPr>
          <w:rFonts w:ascii="Open Sans" w:hAnsi="Open Sans" w:cs="Open Sans"/>
        </w:rPr>
        <w:t>,</w:t>
      </w:r>
      <w:r w:rsidRPr="745A6CD1">
        <w:rPr>
          <w:rFonts w:ascii="Open Sans" w:hAnsi="Open Sans" w:cs="Open Sans"/>
        </w:rPr>
        <w:t xml:space="preserve"> umowa sprzedaży powinna zawierać postanowienia określające:</w:t>
      </w:r>
    </w:p>
    <w:p w14:paraId="4814F90D" w14:textId="711C818F" w:rsidR="00D92E46" w:rsidRPr="00D92E46" w:rsidRDefault="001F6F36" w:rsidP="00D92E46">
      <w:pPr>
        <w:pStyle w:val="Akapitzlist"/>
        <w:numPr>
          <w:ilvl w:val="0"/>
          <w:numId w:val="4"/>
        </w:numPr>
        <w:jc w:val="both"/>
        <w:rPr>
          <w:rFonts w:ascii="Open Sans" w:hAnsi="Open Sans" w:cs="Open Sans"/>
        </w:rPr>
      </w:pPr>
      <w:r w:rsidRPr="1FF12C93">
        <w:rPr>
          <w:rFonts w:ascii="Open Sans" w:hAnsi="Open Sans" w:cs="Open Sans"/>
        </w:rPr>
        <w:t>miejsce dostarczenia energii do odbiorcy i ilość t</w:t>
      </w:r>
      <w:r w:rsidR="45BED7DD" w:rsidRPr="1FF12C93">
        <w:rPr>
          <w:rFonts w:ascii="Open Sans" w:hAnsi="Open Sans" w:cs="Open Sans"/>
        </w:rPr>
        <w:t>ej</w:t>
      </w:r>
      <w:r w:rsidRPr="1FF12C93">
        <w:rPr>
          <w:rFonts w:ascii="Open Sans" w:hAnsi="Open Sans" w:cs="Open Sans"/>
        </w:rPr>
        <w:t xml:space="preserve"> energii w podziale na okresy umowne, </w:t>
      </w:r>
    </w:p>
    <w:p w14:paraId="7ECECF32" w14:textId="77777777" w:rsidR="00D92E46" w:rsidRPr="00D92E46" w:rsidRDefault="001F6F36" w:rsidP="00D92E46">
      <w:pPr>
        <w:pStyle w:val="Akapitzlist"/>
        <w:numPr>
          <w:ilvl w:val="0"/>
          <w:numId w:val="4"/>
        </w:numPr>
        <w:jc w:val="both"/>
        <w:rPr>
          <w:rFonts w:ascii="Open Sans" w:hAnsi="Open Sans" w:cs="Open Sans"/>
        </w:rPr>
      </w:pPr>
      <w:r w:rsidRPr="00D92E46">
        <w:rPr>
          <w:rFonts w:ascii="Open Sans" w:hAnsi="Open Sans" w:cs="Open Sans"/>
        </w:rPr>
        <w:t xml:space="preserve">moc umowną oraz warunki wprowadzania jej zmian, </w:t>
      </w:r>
    </w:p>
    <w:p w14:paraId="29E1F296" w14:textId="77777777" w:rsidR="00D92E46" w:rsidRPr="00D92E46" w:rsidRDefault="001F6F36" w:rsidP="00D92E46">
      <w:pPr>
        <w:pStyle w:val="Akapitzlist"/>
        <w:numPr>
          <w:ilvl w:val="0"/>
          <w:numId w:val="4"/>
        </w:numPr>
        <w:jc w:val="both"/>
        <w:rPr>
          <w:rFonts w:ascii="Open Sans" w:hAnsi="Open Sans" w:cs="Open Sans"/>
        </w:rPr>
      </w:pPr>
      <w:r w:rsidRPr="00D92E46">
        <w:rPr>
          <w:rFonts w:ascii="Open Sans" w:hAnsi="Open Sans" w:cs="Open Sans"/>
        </w:rPr>
        <w:t xml:space="preserve">cenę lub grupę taryfową stosowane w rozliczeniach i warunki wprowadzania zmian tej ceny i grupy taryfowej, </w:t>
      </w:r>
    </w:p>
    <w:p w14:paraId="753037C8" w14:textId="77777777" w:rsidR="00D92E46" w:rsidRPr="00D92E46" w:rsidRDefault="001F6F36" w:rsidP="00D92E46">
      <w:pPr>
        <w:pStyle w:val="Akapitzlist"/>
        <w:numPr>
          <w:ilvl w:val="0"/>
          <w:numId w:val="4"/>
        </w:numPr>
        <w:jc w:val="both"/>
        <w:rPr>
          <w:rFonts w:ascii="Open Sans" w:hAnsi="Open Sans" w:cs="Open Sans"/>
        </w:rPr>
      </w:pPr>
      <w:r w:rsidRPr="00D92E46">
        <w:rPr>
          <w:rFonts w:ascii="Open Sans" w:hAnsi="Open Sans" w:cs="Open Sans"/>
        </w:rPr>
        <w:t xml:space="preserve">sposób prowadzenia rozliczeń, </w:t>
      </w:r>
    </w:p>
    <w:p w14:paraId="7D300630" w14:textId="77777777" w:rsidR="00D92E46" w:rsidRPr="00D92E46" w:rsidRDefault="001F6F36" w:rsidP="00D92E46">
      <w:pPr>
        <w:pStyle w:val="Akapitzlist"/>
        <w:numPr>
          <w:ilvl w:val="0"/>
          <w:numId w:val="4"/>
        </w:numPr>
        <w:jc w:val="both"/>
        <w:rPr>
          <w:rFonts w:ascii="Open Sans" w:hAnsi="Open Sans" w:cs="Open Sans"/>
        </w:rPr>
      </w:pPr>
      <w:r w:rsidRPr="00D92E46">
        <w:rPr>
          <w:rFonts w:ascii="Open Sans" w:hAnsi="Open Sans" w:cs="Open Sans"/>
        </w:rPr>
        <w:t xml:space="preserve">wysokość bonifikaty za niedotrzymanie standardów jakościowych obsługi odbiorców, </w:t>
      </w:r>
    </w:p>
    <w:p w14:paraId="29798D30" w14:textId="77777777" w:rsidR="00D92E46" w:rsidRPr="00D92E46" w:rsidRDefault="001F6F36" w:rsidP="00D92E46">
      <w:pPr>
        <w:pStyle w:val="Akapitzlist"/>
        <w:numPr>
          <w:ilvl w:val="0"/>
          <w:numId w:val="4"/>
        </w:numPr>
        <w:jc w:val="both"/>
        <w:rPr>
          <w:rFonts w:ascii="Open Sans" w:hAnsi="Open Sans" w:cs="Open Sans"/>
        </w:rPr>
      </w:pPr>
      <w:r w:rsidRPr="00D92E46">
        <w:rPr>
          <w:rFonts w:ascii="Open Sans" w:hAnsi="Open Sans" w:cs="Open Sans"/>
        </w:rPr>
        <w:t xml:space="preserve">odpowiedzialność stron za niedotrzymanie warunków umowy, </w:t>
      </w:r>
    </w:p>
    <w:p w14:paraId="42D5EEB3" w14:textId="2407FABF" w:rsidR="001F6F36" w:rsidRPr="00D92E46" w:rsidRDefault="001F6F36" w:rsidP="00D92E46">
      <w:pPr>
        <w:pStyle w:val="Akapitzlist"/>
        <w:numPr>
          <w:ilvl w:val="0"/>
          <w:numId w:val="4"/>
        </w:numPr>
        <w:jc w:val="both"/>
        <w:rPr>
          <w:rFonts w:ascii="Open Sans" w:hAnsi="Open Sans" w:cs="Open Sans"/>
        </w:rPr>
      </w:pPr>
      <w:r w:rsidRPr="51F54D77">
        <w:rPr>
          <w:rFonts w:ascii="Open Sans" w:hAnsi="Open Sans" w:cs="Open Sans"/>
        </w:rPr>
        <w:t>okres obowiązywania umowy i warunki jej rozwiązania oraz pouczenie o konsekwencjach wyboru sprzedawcy rezerwowego</w:t>
      </w:r>
      <w:r w:rsidR="00D92E46" w:rsidRPr="51F54D77">
        <w:rPr>
          <w:rFonts w:ascii="Open Sans" w:hAnsi="Open Sans" w:cs="Open Sans"/>
        </w:rPr>
        <w:t>.</w:t>
      </w:r>
    </w:p>
    <w:p w14:paraId="723FCEB1" w14:textId="3E7D990F" w:rsidR="69E79849" w:rsidRDefault="2ED1EF78" w:rsidP="1FF12C93">
      <w:pPr>
        <w:pStyle w:val="Akapitzlist"/>
        <w:numPr>
          <w:ilvl w:val="0"/>
          <w:numId w:val="4"/>
        </w:numPr>
        <w:jc w:val="both"/>
        <w:rPr>
          <w:rFonts w:ascii="Open Sans" w:hAnsi="Open Sans" w:cs="Open Sans"/>
        </w:rPr>
      </w:pPr>
      <w:r w:rsidRPr="1FF12C93">
        <w:rPr>
          <w:rFonts w:ascii="Open Sans" w:hAnsi="Open Sans" w:cs="Open Sans"/>
        </w:rPr>
        <w:t xml:space="preserve">rodzaj odnawialnego źródła energii, z którego wytworzono energię elektryczną stanowiącą przedmiot umowy - </w:t>
      </w:r>
      <w:r w:rsidR="566A4565" w:rsidRPr="1FF12C93">
        <w:rPr>
          <w:rFonts w:ascii="Open Sans" w:hAnsi="Open Sans" w:cs="Open Sans"/>
        </w:rPr>
        <w:t xml:space="preserve">element dodatkowy zawarty w </w:t>
      </w:r>
      <w:r w:rsidR="02D75437" w:rsidRPr="1FF12C93">
        <w:rPr>
          <w:rFonts w:ascii="Open Sans" w:hAnsi="Open Sans" w:cs="Open Sans"/>
        </w:rPr>
        <w:t>2e do art. 5 ustawy</w:t>
      </w:r>
      <w:r w:rsidR="77155DDB" w:rsidRPr="1FF12C93">
        <w:rPr>
          <w:rFonts w:ascii="Open Sans" w:hAnsi="Open Sans" w:cs="Open Sans"/>
        </w:rPr>
        <w:t>.</w:t>
      </w:r>
    </w:p>
    <w:p w14:paraId="03DBAA18" w14:textId="7F1005A6" w:rsidR="1FF12C93" w:rsidRDefault="1FF12C93" w:rsidP="1FF12C93">
      <w:pPr>
        <w:jc w:val="both"/>
        <w:rPr>
          <w:rFonts w:ascii="Open Sans" w:eastAsia="Open Sans" w:hAnsi="Open Sans" w:cs="Open Sans"/>
          <w:b/>
          <w:bCs/>
        </w:rPr>
      </w:pPr>
    </w:p>
    <w:p w14:paraId="14470FFA" w14:textId="0519672B" w:rsidR="6D5A1333" w:rsidRPr="007E3C5B" w:rsidRDefault="6D5A1333" w:rsidP="007E3C5B">
      <w:pPr>
        <w:rPr>
          <w:rFonts w:ascii="Open Sans" w:eastAsia="Open Sans" w:hAnsi="Open Sans" w:cs="Open Sans"/>
          <w:b/>
          <w:bCs/>
        </w:rPr>
      </w:pPr>
      <w:r w:rsidRPr="1FF12C93">
        <w:rPr>
          <w:rFonts w:ascii="Open Sans" w:eastAsia="Open Sans" w:hAnsi="Open Sans" w:cs="Open Sans"/>
          <w:b/>
          <w:bCs/>
        </w:rPr>
        <w:t>O</w:t>
      </w:r>
      <w:r w:rsidRPr="1FF12C93">
        <w:rPr>
          <w:rFonts w:ascii="Open Sans" w:eastAsia="Open Sans" w:hAnsi="Open Sans" w:cs="Open Sans"/>
        </w:rPr>
        <w:t xml:space="preserve"> </w:t>
      </w:r>
      <w:r w:rsidRPr="1FF12C93">
        <w:rPr>
          <w:rFonts w:ascii="Open Sans" w:eastAsia="Open Sans" w:hAnsi="Open Sans" w:cs="Open Sans"/>
          <w:b/>
          <w:bCs/>
        </w:rPr>
        <w:t xml:space="preserve">OZEOS </w:t>
      </w:r>
    </w:p>
    <w:p w14:paraId="09434586" w14:textId="2DDEDF47" w:rsidR="6D5A1333" w:rsidRDefault="6D5A1333" w:rsidP="1FF12C93">
      <w:pPr>
        <w:jc w:val="both"/>
      </w:pPr>
      <w:r w:rsidRPr="1FF12C93">
        <w:rPr>
          <w:rFonts w:ascii="Open Sans" w:eastAsia="Open Sans" w:hAnsi="Open Sans" w:cs="Open Sans"/>
          <w:b/>
          <w:bCs/>
        </w:rPr>
        <w:t>Nowa technologa dla umów PPA</w:t>
      </w:r>
    </w:p>
    <w:p w14:paraId="0F3E8115" w14:textId="30372624" w:rsidR="6D5A1333" w:rsidRDefault="6D5A1333" w:rsidP="1FF12C93">
      <w:pPr>
        <w:jc w:val="both"/>
      </w:pPr>
      <w:r w:rsidRPr="1FF12C93">
        <w:rPr>
          <w:rFonts w:ascii="Open Sans" w:eastAsia="Open Sans" w:hAnsi="Open Sans" w:cs="Open Sans"/>
        </w:rPr>
        <w:t xml:space="preserve">OZEOS oferuje usługi w zakresie łączenia wytwórców energii OZE z odbiorcami. W tym celu firma stworzyła platformę technologiczną łączącą tych, którzy chcą zabezpieczyć cenę energii w długim okresie w ramach modelu PPA (Power </w:t>
      </w:r>
      <w:proofErr w:type="spellStart"/>
      <w:r w:rsidRPr="1FF12C93">
        <w:rPr>
          <w:rFonts w:ascii="Open Sans" w:eastAsia="Open Sans" w:hAnsi="Open Sans" w:cs="Open Sans"/>
        </w:rPr>
        <w:t>Purchase</w:t>
      </w:r>
      <w:proofErr w:type="spellEnd"/>
      <w:r w:rsidRPr="1FF12C93">
        <w:rPr>
          <w:rFonts w:ascii="Open Sans" w:eastAsia="Open Sans" w:hAnsi="Open Sans" w:cs="Open Sans"/>
        </w:rPr>
        <w:t xml:space="preserve"> Agreement) z wytwórcami energii OZE.</w:t>
      </w:r>
    </w:p>
    <w:p w14:paraId="739972F5" w14:textId="6ECD82FC" w:rsidR="6D5A1333" w:rsidRDefault="6D5A1333" w:rsidP="1FF12C93">
      <w:pPr>
        <w:jc w:val="both"/>
      </w:pPr>
      <w:r w:rsidRPr="1FF12C93">
        <w:rPr>
          <w:rFonts w:ascii="Open Sans" w:eastAsia="Open Sans" w:hAnsi="Open Sans" w:cs="Open Sans"/>
        </w:rPr>
        <w:t>Dzięki swym funkcjonalnościom OZEOS pomaga obniżyć koszty działania fabryk, firm usługowych, innych przedsiębiorstw zużywających rocznie więcej niż 1000 MWh. Zastosowane algorytmy umożliwiają bowiem zawarcie długoterminowych kontraktów PPA, które dają gwarancję wolumenu energii dla odbiorców, a wytwórcom stabilną cenę. OZEOS pomaga również w zawarciu kontraktu dla źródła OZE, dzięki któremu wytwórca będzie mógł uzyskać finansowanie z banku pod budowę instalacji OZE.</w:t>
      </w:r>
    </w:p>
    <w:p w14:paraId="31282DFA" w14:textId="196FAA5C" w:rsidR="6D5A1333" w:rsidRDefault="6D5A1333" w:rsidP="1FF12C93">
      <w:pPr>
        <w:jc w:val="both"/>
      </w:pPr>
      <w:r w:rsidRPr="1FF12C93">
        <w:rPr>
          <w:rFonts w:ascii="Open Sans" w:eastAsia="Open Sans" w:hAnsi="Open Sans" w:cs="Open Sans"/>
          <w:b/>
          <w:bCs/>
        </w:rPr>
        <w:t>Zarząd OZEOS</w:t>
      </w:r>
    </w:p>
    <w:p w14:paraId="55BE8651" w14:textId="5D135331" w:rsidR="6D5A1333" w:rsidRDefault="6D5A1333" w:rsidP="1FF12C93">
      <w:pPr>
        <w:jc w:val="both"/>
      </w:pPr>
      <w:r w:rsidRPr="1FF12C93">
        <w:rPr>
          <w:rFonts w:ascii="Open Sans" w:eastAsia="Open Sans" w:hAnsi="Open Sans" w:cs="Open Sans"/>
        </w:rPr>
        <w:t>Firma OZEOS powstała w 2021 roku. Zarządzają nią: Zbigniew Kinal i Krzysztof Komosa – - doświadczeni menadżerowie z branż energetyki oraz finansów.</w:t>
      </w:r>
    </w:p>
    <w:p w14:paraId="6A3A1082" w14:textId="44E8DC69" w:rsidR="6D5A1333" w:rsidRDefault="6D5A1333" w:rsidP="1FF12C93">
      <w:pPr>
        <w:jc w:val="both"/>
      </w:pPr>
      <w:r w:rsidRPr="1FF12C93">
        <w:rPr>
          <w:rFonts w:ascii="Open Sans" w:eastAsia="Open Sans" w:hAnsi="Open Sans" w:cs="Open Sans"/>
          <w:b/>
          <w:bCs/>
        </w:rPr>
        <w:t>Inwestor</w:t>
      </w:r>
    </w:p>
    <w:p w14:paraId="76F228AD" w14:textId="7A665E84" w:rsidR="6D5A1333" w:rsidRDefault="6D5A1333" w:rsidP="1FF12C93">
      <w:pPr>
        <w:jc w:val="both"/>
      </w:pPr>
      <w:r w:rsidRPr="1FF12C93">
        <w:rPr>
          <w:rFonts w:ascii="Open Sans" w:eastAsia="Open Sans" w:hAnsi="Open Sans" w:cs="Open Sans"/>
        </w:rPr>
        <w:t>Finansowania na budowę i rozwój platformy online OZEOS udzielił inwestor branżowy na rynku energetyki - spółka DC24 Alternatywna Spółka Inwestycyjna</w:t>
      </w:r>
      <w:r w:rsidRPr="1FF12C93">
        <w:rPr>
          <w:rFonts w:ascii="Open Sans" w:eastAsia="Open Sans" w:hAnsi="Open Sans" w:cs="Open Sans"/>
          <w:i/>
          <w:iCs/>
        </w:rPr>
        <w:t>.</w:t>
      </w:r>
    </w:p>
    <w:p w14:paraId="69C11AF1" w14:textId="045A0F41" w:rsidR="6D5A1333" w:rsidRDefault="00F9714D" w:rsidP="1FF12C93">
      <w:pPr>
        <w:jc w:val="both"/>
      </w:pPr>
      <w:hyperlink r:id="rId10">
        <w:r w:rsidR="6D5A1333" w:rsidRPr="1FF12C93">
          <w:rPr>
            <w:rStyle w:val="Hipercze"/>
            <w:rFonts w:ascii="Open Sans" w:eastAsia="Open Sans" w:hAnsi="Open Sans" w:cs="Open Sans"/>
          </w:rPr>
          <w:t>https://www.ozeos.pl/</w:t>
        </w:r>
      </w:hyperlink>
    </w:p>
    <w:p w14:paraId="0E5D7A0E" w14:textId="09631521" w:rsidR="1FF12C93" w:rsidRDefault="1FF12C93" w:rsidP="1FF12C93">
      <w:pPr>
        <w:jc w:val="both"/>
        <w:rPr>
          <w:rFonts w:ascii="Open Sans" w:hAnsi="Open Sans" w:cs="Open Sans"/>
        </w:rPr>
      </w:pPr>
    </w:p>
    <w:sectPr w:rsidR="1FF12C93">
      <w:foot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A047" w14:textId="77777777" w:rsidR="007404D5" w:rsidRDefault="007404D5" w:rsidP="006D65F7">
      <w:pPr>
        <w:spacing w:line="240" w:lineRule="auto"/>
      </w:pPr>
      <w:r>
        <w:separator/>
      </w:r>
    </w:p>
  </w:endnote>
  <w:endnote w:type="continuationSeparator" w:id="0">
    <w:p w14:paraId="5882B8FD" w14:textId="77777777" w:rsidR="007404D5" w:rsidRDefault="007404D5" w:rsidP="006D65F7">
      <w:pPr>
        <w:spacing w:line="240" w:lineRule="auto"/>
      </w:pPr>
      <w:r>
        <w:continuationSeparator/>
      </w:r>
    </w:p>
  </w:endnote>
  <w:endnote w:type="continuationNotice" w:id="1">
    <w:p w14:paraId="508DA953" w14:textId="77777777" w:rsidR="007404D5" w:rsidRDefault="007404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81245"/>
      <w:docPartObj>
        <w:docPartGallery w:val="Page Numbers (Bottom of Page)"/>
        <w:docPartUnique/>
      </w:docPartObj>
    </w:sdtPr>
    <w:sdtEndPr>
      <w:rPr>
        <w:sz w:val="20"/>
        <w:szCs w:val="20"/>
      </w:rPr>
    </w:sdtEndPr>
    <w:sdtContent>
      <w:p w14:paraId="5AFDD94B" w14:textId="1B6CBCF0" w:rsidR="00583F6A" w:rsidRPr="00583F6A" w:rsidRDefault="00583F6A">
        <w:pPr>
          <w:pStyle w:val="Stopka"/>
          <w:jc w:val="right"/>
          <w:rPr>
            <w:sz w:val="20"/>
            <w:szCs w:val="20"/>
          </w:rPr>
        </w:pPr>
        <w:r w:rsidRPr="00583F6A">
          <w:rPr>
            <w:sz w:val="20"/>
            <w:szCs w:val="20"/>
          </w:rPr>
          <w:fldChar w:fldCharType="begin"/>
        </w:r>
        <w:r w:rsidRPr="00583F6A">
          <w:rPr>
            <w:sz w:val="20"/>
            <w:szCs w:val="20"/>
          </w:rPr>
          <w:instrText>PAGE   \* MERGEFORMAT</w:instrText>
        </w:r>
        <w:r w:rsidRPr="00583F6A">
          <w:rPr>
            <w:sz w:val="20"/>
            <w:szCs w:val="20"/>
          </w:rPr>
          <w:fldChar w:fldCharType="separate"/>
        </w:r>
        <w:r w:rsidRPr="00583F6A">
          <w:rPr>
            <w:sz w:val="20"/>
            <w:szCs w:val="20"/>
            <w:lang w:val="pl-PL"/>
          </w:rPr>
          <w:t>2</w:t>
        </w:r>
        <w:r w:rsidRPr="00583F6A">
          <w:rPr>
            <w:sz w:val="20"/>
            <w:szCs w:val="20"/>
          </w:rPr>
          <w:fldChar w:fldCharType="end"/>
        </w:r>
      </w:p>
    </w:sdtContent>
  </w:sdt>
  <w:p w14:paraId="2893B666" w14:textId="77777777" w:rsidR="00583F6A" w:rsidRDefault="00583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214" w14:textId="77777777" w:rsidR="007404D5" w:rsidRDefault="007404D5" w:rsidP="006D65F7">
      <w:pPr>
        <w:spacing w:line="240" w:lineRule="auto"/>
      </w:pPr>
      <w:r>
        <w:separator/>
      </w:r>
    </w:p>
  </w:footnote>
  <w:footnote w:type="continuationSeparator" w:id="0">
    <w:p w14:paraId="553B9F7F" w14:textId="77777777" w:rsidR="007404D5" w:rsidRDefault="007404D5" w:rsidP="006D65F7">
      <w:pPr>
        <w:spacing w:line="240" w:lineRule="auto"/>
      </w:pPr>
      <w:r>
        <w:continuationSeparator/>
      </w:r>
    </w:p>
  </w:footnote>
  <w:footnote w:type="continuationNotice" w:id="1">
    <w:p w14:paraId="4143494C" w14:textId="77777777" w:rsidR="007404D5" w:rsidRDefault="007404D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704ED"/>
    <w:multiLevelType w:val="hybridMultilevel"/>
    <w:tmpl w:val="98BE50C2"/>
    <w:lvl w:ilvl="0" w:tplc="F9CCBB08">
      <w:numFmt w:val="bullet"/>
      <w:lvlText w:val="-"/>
      <w:lvlJc w:val="left"/>
      <w:pPr>
        <w:ind w:left="720" w:hanging="360"/>
      </w:pPr>
      <w:rPr>
        <w:rFonts w:ascii="Open Sans" w:eastAsia="Arial" w:hAnsi="Open Sans" w:cs="Ope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8A31B1C"/>
    <w:multiLevelType w:val="hybridMultilevel"/>
    <w:tmpl w:val="84461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6B5BF6"/>
    <w:multiLevelType w:val="hybridMultilevel"/>
    <w:tmpl w:val="343EBF84"/>
    <w:lvl w:ilvl="0" w:tplc="17440FB6">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6C52E0B"/>
    <w:multiLevelType w:val="hybridMultilevel"/>
    <w:tmpl w:val="6DF26F5E"/>
    <w:lvl w:ilvl="0" w:tplc="342AA72A">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6413550">
    <w:abstractNumId w:val="2"/>
  </w:num>
  <w:num w:numId="2" w16cid:durableId="1883128663">
    <w:abstractNumId w:val="3"/>
  </w:num>
  <w:num w:numId="3" w16cid:durableId="428083643">
    <w:abstractNumId w:val="0"/>
  </w:num>
  <w:num w:numId="4" w16cid:durableId="61710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BD0"/>
    <w:rsid w:val="00015AD2"/>
    <w:rsid w:val="000366B0"/>
    <w:rsid w:val="00060E13"/>
    <w:rsid w:val="000A2D55"/>
    <w:rsid w:val="00105638"/>
    <w:rsid w:val="00111A27"/>
    <w:rsid w:val="00173AE5"/>
    <w:rsid w:val="001A0EF4"/>
    <w:rsid w:val="001F6F36"/>
    <w:rsid w:val="002B1B8B"/>
    <w:rsid w:val="00342D09"/>
    <w:rsid w:val="00372F2C"/>
    <w:rsid w:val="004754E4"/>
    <w:rsid w:val="005765BD"/>
    <w:rsid w:val="00583F6A"/>
    <w:rsid w:val="00604BD0"/>
    <w:rsid w:val="006870C2"/>
    <w:rsid w:val="006D65F7"/>
    <w:rsid w:val="007404D5"/>
    <w:rsid w:val="007628E5"/>
    <w:rsid w:val="007E3C5B"/>
    <w:rsid w:val="007E62C1"/>
    <w:rsid w:val="008E4C61"/>
    <w:rsid w:val="00930300"/>
    <w:rsid w:val="009A0621"/>
    <w:rsid w:val="00A61234"/>
    <w:rsid w:val="00B25A6B"/>
    <w:rsid w:val="00B70683"/>
    <w:rsid w:val="00C8429C"/>
    <w:rsid w:val="00D87091"/>
    <w:rsid w:val="00D92E46"/>
    <w:rsid w:val="00EC6E97"/>
    <w:rsid w:val="00EE363B"/>
    <w:rsid w:val="00F52C67"/>
    <w:rsid w:val="00F9714D"/>
    <w:rsid w:val="02D75437"/>
    <w:rsid w:val="0847E822"/>
    <w:rsid w:val="08BA60F3"/>
    <w:rsid w:val="09736CBE"/>
    <w:rsid w:val="0E385156"/>
    <w:rsid w:val="0E64F50E"/>
    <w:rsid w:val="1364A28F"/>
    <w:rsid w:val="1436A8E1"/>
    <w:rsid w:val="165EC7D3"/>
    <w:rsid w:val="16DEAEAC"/>
    <w:rsid w:val="1B4CEDE6"/>
    <w:rsid w:val="1C67873D"/>
    <w:rsid w:val="1CEA17B7"/>
    <w:rsid w:val="1FF12C93"/>
    <w:rsid w:val="22E56174"/>
    <w:rsid w:val="236FCC11"/>
    <w:rsid w:val="24E58FA2"/>
    <w:rsid w:val="270118F1"/>
    <w:rsid w:val="28BCF0F4"/>
    <w:rsid w:val="2A3D5AC1"/>
    <w:rsid w:val="2A414ED1"/>
    <w:rsid w:val="2BF491B6"/>
    <w:rsid w:val="2ED1EF78"/>
    <w:rsid w:val="2F96B805"/>
    <w:rsid w:val="326925CB"/>
    <w:rsid w:val="359139FA"/>
    <w:rsid w:val="394A2263"/>
    <w:rsid w:val="3C5869B9"/>
    <w:rsid w:val="3FE2C759"/>
    <w:rsid w:val="43BAB45B"/>
    <w:rsid w:val="43FAD8A0"/>
    <w:rsid w:val="45BED7DD"/>
    <w:rsid w:val="4E7E1BE4"/>
    <w:rsid w:val="516D4F05"/>
    <w:rsid w:val="51F54D77"/>
    <w:rsid w:val="5501B5FA"/>
    <w:rsid w:val="566A4565"/>
    <w:rsid w:val="5C2FB94C"/>
    <w:rsid w:val="5F219372"/>
    <w:rsid w:val="62896F0F"/>
    <w:rsid w:val="66F78879"/>
    <w:rsid w:val="67519596"/>
    <w:rsid w:val="6829E71D"/>
    <w:rsid w:val="69DE343A"/>
    <w:rsid w:val="69E79849"/>
    <w:rsid w:val="6BA7FC7C"/>
    <w:rsid w:val="6CA0F852"/>
    <w:rsid w:val="6D5A1333"/>
    <w:rsid w:val="6E22C04C"/>
    <w:rsid w:val="6FC48EDF"/>
    <w:rsid w:val="70854262"/>
    <w:rsid w:val="73BCE324"/>
    <w:rsid w:val="745A6CD1"/>
    <w:rsid w:val="77155DDB"/>
    <w:rsid w:val="77227B7B"/>
    <w:rsid w:val="7797FD79"/>
    <w:rsid w:val="7E85CDB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4028"/>
  <w15:docId w15:val="{80907FA7-755A-41FE-AACD-7720BB91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6870C2"/>
    <w:pPr>
      <w:ind w:left="720"/>
      <w:contextualSpacing/>
    </w:pPr>
  </w:style>
  <w:style w:type="paragraph" w:styleId="Tekstprzypisukocowego">
    <w:name w:val="endnote text"/>
    <w:basedOn w:val="Normalny"/>
    <w:link w:val="TekstprzypisukocowegoZnak"/>
    <w:uiPriority w:val="99"/>
    <w:semiHidden/>
    <w:unhideWhenUsed/>
    <w:rsid w:val="006D65F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65F7"/>
    <w:rPr>
      <w:sz w:val="20"/>
      <w:szCs w:val="20"/>
    </w:rPr>
  </w:style>
  <w:style w:type="character" w:styleId="Odwoanieprzypisukocowego">
    <w:name w:val="endnote reference"/>
    <w:basedOn w:val="Domylnaczcionkaakapitu"/>
    <w:uiPriority w:val="99"/>
    <w:semiHidden/>
    <w:unhideWhenUsed/>
    <w:rsid w:val="006D65F7"/>
    <w:rPr>
      <w:vertAlign w:val="superscript"/>
    </w:rPr>
  </w:style>
  <w:style w:type="character" w:styleId="Wzmianka">
    <w:name w:val="Mention"/>
    <w:basedOn w:val="Domylnaczcionkaakapitu"/>
    <w:uiPriority w:val="99"/>
    <w:unhideWhenUsed/>
    <w:rPr>
      <w:color w:val="2B579A"/>
      <w:shd w:val="clear" w:color="auto" w:fill="E6E6E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0366B0"/>
    <w:pPr>
      <w:tabs>
        <w:tab w:val="center" w:pos="4536"/>
        <w:tab w:val="right" w:pos="9072"/>
      </w:tabs>
      <w:spacing w:line="240" w:lineRule="auto"/>
    </w:pPr>
  </w:style>
  <w:style w:type="character" w:customStyle="1" w:styleId="NagwekZnak">
    <w:name w:val="Nagłówek Znak"/>
    <w:basedOn w:val="Domylnaczcionkaakapitu"/>
    <w:link w:val="Nagwek"/>
    <w:uiPriority w:val="99"/>
    <w:rsid w:val="000366B0"/>
  </w:style>
  <w:style w:type="paragraph" w:styleId="Stopka">
    <w:name w:val="footer"/>
    <w:basedOn w:val="Normalny"/>
    <w:link w:val="StopkaZnak"/>
    <w:uiPriority w:val="99"/>
    <w:unhideWhenUsed/>
    <w:rsid w:val="000366B0"/>
    <w:pPr>
      <w:tabs>
        <w:tab w:val="center" w:pos="4536"/>
        <w:tab w:val="right" w:pos="9072"/>
      </w:tabs>
      <w:spacing w:line="240" w:lineRule="auto"/>
    </w:pPr>
  </w:style>
  <w:style w:type="character" w:customStyle="1" w:styleId="StopkaZnak">
    <w:name w:val="Stopka Znak"/>
    <w:basedOn w:val="Domylnaczcionkaakapitu"/>
    <w:link w:val="Stopka"/>
    <w:uiPriority w:val="99"/>
    <w:rsid w:val="000366B0"/>
  </w:style>
  <w:style w:type="table" w:customStyle="1" w:styleId="TableNormal1">
    <w:name w:val="Table Normal1"/>
    <w:rsid w:val="000366B0"/>
    <w:tblPr>
      <w:tblCellMar>
        <w:top w:w="0" w:type="dxa"/>
        <w:left w:w="0" w:type="dxa"/>
        <w:bottom w:w="0" w:type="dxa"/>
        <w:right w:w="0" w:type="dxa"/>
      </w:tblCellMar>
    </w:tblPr>
  </w:style>
  <w:style w:type="character" w:styleId="Hipercze">
    <w:name w:val="Hyperlink"/>
    <w:basedOn w:val="Domylnaczcionkaakapitu"/>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ozeos.p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ABDB95C-DCD4-4FE6-B64D-7EFE81A2A358}">
    <t:Anchor>
      <t:Comment id="43530398"/>
    </t:Anchor>
    <t:History>
      <t:Event id="{AA397EE8-57D9-46CE-BA98-9BA4463079DD}" time="2023-05-22T11:41:04.325Z">
        <t:Attribution userId="S::alina.geniusz@inntu.pl::36f45d49-7b07-470b-9038-4a6830d9995c" userProvider="AD" userName="Alina Geniusz-Siuchnińska"/>
        <t:Anchor>
          <t:Comment id="43530398"/>
        </t:Anchor>
        <t:Create/>
      </t:Event>
      <t:Event id="{C0FA5115-1C1E-43AD-B4AF-3C8E1F6901BC}" time="2023-05-22T11:41:04.325Z">
        <t:Attribution userId="S::alina.geniusz@inntu.pl::36f45d49-7b07-470b-9038-4a6830d9995c" userProvider="AD" userName="Alina Geniusz-Siuchnińska"/>
        <t:Anchor>
          <t:Comment id="43530398"/>
        </t:Anchor>
        <t:Assign userId="S::olga.szudzik@inntu.pl::47143668-80ad-45a6-84d0-dcdcd546d91c" userProvider="AD" userName="Olga Szudzik"/>
      </t:Event>
      <t:Event id="{F5CF1C23-7449-4828-AF8A-F66A9CB672F0}" time="2023-05-22T11:41:04.325Z">
        <t:Attribution userId="S::alina.geniusz@inntu.pl::36f45d49-7b07-470b-9038-4a6830d9995c" userProvider="AD" userName="Alina Geniusz-Siuchnińska"/>
        <t:Anchor>
          <t:Comment id="43530398"/>
        </t:Anchor>
        <t:SetTitle title="@Olga Szudzik to jest nie po polsku, Prośba o przeredagowanie i uproszczenie. Zrób to prosze od końca dnia i daj mi znać"/>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C686EF52174A4D9CC1BF2F771C3E85" ma:contentTypeVersion="13" ma:contentTypeDescription="Utwórz nowy dokument." ma:contentTypeScope="" ma:versionID="f35030398501e532103ec1bd1e867273">
  <xsd:schema xmlns:xsd="http://www.w3.org/2001/XMLSchema" xmlns:xs="http://www.w3.org/2001/XMLSchema" xmlns:p="http://schemas.microsoft.com/office/2006/metadata/properties" xmlns:ns2="b47d106d-0d8e-4e58-a47b-9dbadf185a9c" xmlns:ns3="d628c1cb-26e7-4e5c-9e86-f05d2fa5123a" targetNamespace="http://schemas.microsoft.com/office/2006/metadata/properties" ma:root="true" ma:fieldsID="792faf6069b357cf3490114643816d42" ns2:_="" ns3:_="">
    <xsd:import namespace="b47d106d-0d8e-4e58-a47b-9dbadf185a9c"/>
    <xsd:import namespace="d628c1cb-26e7-4e5c-9e86-f05d2fa5123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d106d-0d8e-4e58-a47b-9dbadf185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f83bff1b-c7c1-49a7-bb62-9bc0fcf01b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8c1cb-26e7-4e5c-9e86-f05d2fa512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749673-8f22-4824-a685-d29f5a5bc1af}" ma:internalName="TaxCatchAll" ma:showField="CatchAllData" ma:web="d628c1cb-26e7-4e5c-9e86-f05d2fa512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d106d-0d8e-4e58-a47b-9dbadf185a9c">
      <Terms xmlns="http://schemas.microsoft.com/office/infopath/2007/PartnerControls"/>
    </lcf76f155ced4ddcb4097134ff3c332f>
    <TaxCatchAll xmlns="d628c1cb-26e7-4e5c-9e86-f05d2fa5123a" xsi:nil="true"/>
  </documentManagement>
</p:properties>
</file>

<file path=customXml/itemProps1.xml><?xml version="1.0" encoding="utf-8"?>
<ds:datastoreItem xmlns:ds="http://schemas.openxmlformats.org/officeDocument/2006/customXml" ds:itemID="{E6EBA37A-6D65-4AB0-94C0-46BF5E84F7E6}">
  <ds:schemaRefs>
    <ds:schemaRef ds:uri="http://schemas.microsoft.com/sharepoint/v3/contenttype/forms"/>
  </ds:schemaRefs>
</ds:datastoreItem>
</file>

<file path=customXml/itemProps2.xml><?xml version="1.0" encoding="utf-8"?>
<ds:datastoreItem xmlns:ds="http://schemas.openxmlformats.org/officeDocument/2006/customXml" ds:itemID="{03CCB00E-107C-4C0F-948C-5623C3708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d106d-0d8e-4e58-a47b-9dbadf185a9c"/>
    <ds:schemaRef ds:uri="d628c1cb-26e7-4e5c-9e86-f05d2fa5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41993-5FFA-4C74-82F2-73AE5FB190C6}">
  <ds:schemaRefs>
    <ds:schemaRef ds:uri="http://schemas.microsoft.com/office/2006/metadata/properties"/>
    <ds:schemaRef ds:uri="http://schemas.microsoft.com/office/infopath/2007/PartnerControls"/>
    <ds:schemaRef ds:uri="b47d106d-0d8e-4e58-a47b-9dbadf185a9c"/>
    <ds:schemaRef ds:uri="d628c1cb-26e7-4e5c-9e86-f05d2fa512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5100</Characters>
  <Application>Microsoft Office Word</Application>
  <DocSecurity>4</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Geniusz-Siuchnińska</dc:creator>
  <cp:keywords/>
  <cp:lastModifiedBy>Alina Geniusz-Siuchnińska</cp:lastModifiedBy>
  <cp:revision>18</cp:revision>
  <dcterms:created xsi:type="dcterms:W3CDTF">2023-05-18T15:42:00Z</dcterms:created>
  <dcterms:modified xsi:type="dcterms:W3CDTF">2023-05-22T19:37:00Z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0x0101002BC686EF52174A4D9CC1BF2F771C3E85</vt:lpwstr>
  </property>
  <property fmtid="{D5CDD505-2E9C-101B-9397-08002B2CF9AE}" pid="3" name="MediaServiceImageTags">
    <vt:lpwstr/>
  </property>
</Properties>
</file>